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2"/>
          <w:szCs w:val="22"/>
        </w:rPr>
        <w:t>Zasady przyznawania środków finansowych na koła naukowe i organizacje studenckie działające na Uniwersytecie Gdańskim uchwalone na zebraniu Parlamentarnej Komisji ds. Kół Naukowych dn. 15.01.2007 roku.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§1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 Parlamentarna Komisja ds. Kół Naukowych jest organem Parlamentu Studenckiego UG i zajmuje się m.in. przyznawaniem środków finansowych na działalność programową organizacji studenckich.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§2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Każda organizacja studencka działająca i zarejestrowana na Uniwersytecie Gdańskim ma prawo do ubiegania się o środki finansowe przed ww. komisją.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§3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Komisja zbiera się cztery razy do roku (styczeń, marzec, czerwiec, październik).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§4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Komisja przyznaje środki finansowe w systemie kwartalnym, tj.: w styczniu na styczeń, luty, marzec; w marcu na kwiecień, maj, czerwiec; w czerwcu na lipiec, sierpień, wrzesień; w październiku na październik, listopad, grudzień.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     §5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Raz do roku komisja organizuje spotkanie z przedstawicielami wszystkich kół naukowych w sprawie dotyczącej działalności kół oraz przyznawania środków finansowych.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§6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Każda organizacja studencka ma prawo do otrzymania raz w roku środków na działalność statutową,(czyli: materiały biurowe, eksploatacyjne, itd.).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Kwota: 200 zł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§7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Podstawą przyznania środków na działalność statutową jest złożenie w terminie wyznaczonym przez komisję sprawozdania merytorycznego i finansowego z działalności koła za rok ubiegły.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§8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Złożenie sprawozdania w terminie innym niż wyznaczony wiąże się z możliwością nie przyznania ww. środków.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§9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Nowo utworzone organizacje w momencie dopełnienia formalności związanych z rejestracją nabywają prawo do otrzymania środków finansowych na działalność statutową, po uprzednim złożeniu projektu i preliminarza na kolejny kwartał.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§10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lastRenderedPageBreak/>
        <w:t>Każda organizacja studencka ma prawo do ubiegania się o środki finansowe potrzebne do zrealizowania zaplanowanych przedsięwzięć. Środki przyznawane są na podstawie składanych projektów i załączonych preliminarzy.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§11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Projekty i preliminarze rozpatrywane są w ciągu tygodnia od terminu składania wniosków.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§12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Terminy składania projektów ustalane są przez komisję i niestosowanie się do nich skutkuje pominięciem danego koła przy rozdysponowywaniu środków finansowych.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§13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Komisja przyznaje fundusze wg ściśle określonych kryteriów: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09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1.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Przyczynianie się do szerzenia dobrego imienia Uniwersytetu Gdańskiego w Polsce i na świecie (np.: organizowanie konferencji, seminariów, badań naukowych, wydawanie publikacji, itd.).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09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2.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Zgodność projektu z programem badawczo-rozwojowym wydziału, przy którym działa jednostka.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09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3.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Współpraca z innymi organizacjami oraz innymi ośrodkami akademickimi w Polsce i na świecie.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09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4.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Skala organizowanego przedsięwzięcia (liczba członków koła biorących udział w projekcie, projekt ogólnopolski).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09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5.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Poparcie projektu przez władze uczelni (honorowy patronat rektora, opinia opiekuna koła, itd.).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09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6.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Umiejętność pozyskiwania dodatkowych funduszy (sponsorzy, instytucje itd.).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09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7.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Racjonalne dysponowanie przyznanymi wcześniej środkami. Rozliczanie się z nich w wyznaczonym terminie.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09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8.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Poprawnie napisany projekt oraz preliminarz.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§14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 xml:space="preserve">W związku z ograniczonym budżetem, jakim dysponuje komisja, przede wszystkim promowane i refundowane są </w:t>
      </w:r>
      <w:proofErr w:type="spellStart"/>
      <w:r>
        <w:rPr>
          <w:color w:val="333333"/>
          <w:spacing w:val="8"/>
          <w:sz w:val="22"/>
          <w:szCs w:val="22"/>
        </w:rPr>
        <w:t>koszta</w:t>
      </w:r>
      <w:proofErr w:type="spellEnd"/>
      <w:r>
        <w:rPr>
          <w:color w:val="333333"/>
          <w:spacing w:val="8"/>
          <w:sz w:val="22"/>
          <w:szCs w:val="22"/>
        </w:rPr>
        <w:t xml:space="preserve"> poniesione z tytułu: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65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1.</w:t>
      </w:r>
      <w:r>
        <w:rPr>
          <w:color w:val="333333"/>
          <w:spacing w:val="8"/>
          <w:sz w:val="14"/>
          <w:szCs w:val="14"/>
        </w:rPr>
        <w:t>     </w:t>
      </w:r>
      <w:r>
        <w:rPr>
          <w:color w:val="333333"/>
          <w:spacing w:val="8"/>
          <w:sz w:val="20"/>
          <w:szCs w:val="20"/>
        </w:rPr>
        <w:t>Uczestnictwa w konferencjach (tj.: opłaty konferencyjne, przejazdy, zakwaterowanie), samodzielnej organizacji konferencji bądź innej imprezy mającej wydźwięk ogólnopolski bądź międzynarodowy (np. druk plakatów lub ulotek, wynajem sali, zakwaterowanie gości).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65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2.</w:t>
      </w:r>
      <w:r>
        <w:rPr>
          <w:color w:val="333333"/>
          <w:spacing w:val="8"/>
          <w:sz w:val="14"/>
          <w:szCs w:val="14"/>
        </w:rPr>
        <w:t>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Prowadzenia badań naukowych przyczyniających się do rozwoju polskiej nauki oraz sławiących dobre imię naszego uniwersytetu.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65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lastRenderedPageBreak/>
        <w:t>$1</w:t>
      </w:r>
      <w:r>
        <w:rPr>
          <w:color w:val="333333"/>
          <w:spacing w:val="8"/>
          <w:sz w:val="20"/>
          <w:szCs w:val="20"/>
        </w:rPr>
        <w:t>3.</w:t>
      </w:r>
      <w:r>
        <w:rPr>
          <w:color w:val="333333"/>
          <w:spacing w:val="8"/>
          <w:sz w:val="14"/>
          <w:szCs w:val="14"/>
        </w:rPr>
        <w:t>    </w:t>
      </w:r>
      <w:r>
        <w:rPr>
          <w:color w:val="333333"/>
          <w:spacing w:val="8"/>
          <w:sz w:val="20"/>
          <w:szCs w:val="20"/>
        </w:rPr>
        <w:t>Prowadzenia nieodpłatnych działań, które mają na celu niesienie pomocy studentom a także innym osobom bez statusu studenta (np. prowadzenie różnego rodzaju poradni, fundacji, szkolenia itd.).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765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4.</w:t>
      </w:r>
      <w:r>
        <w:rPr>
          <w:color w:val="333333"/>
          <w:spacing w:val="8"/>
          <w:sz w:val="14"/>
          <w:szCs w:val="14"/>
        </w:rPr>
        <w:t>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Zakupu pomocy naukowych (tylko takich, których nie można wypożyczyć oraz nie ma w zasobach uniwersyteckich).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§15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Komisja raczej nie przyznaje środków finansowych na: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855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1.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Usługi cateringowe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855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2.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Wyżywienie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855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3.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Wynagrodzenia dla prelegentów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855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4.</w:t>
      </w:r>
      <w:r>
        <w:rPr>
          <w:color w:val="333333"/>
          <w:spacing w:val="8"/>
          <w:sz w:val="14"/>
          <w:szCs w:val="14"/>
        </w:rPr>
        <w:t>     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Przedmioty, których zakup wg komisji jest nieuzasadniony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855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5.</w:t>
      </w:r>
      <w:r>
        <w:rPr>
          <w:color w:val="333333"/>
          <w:spacing w:val="8"/>
          <w:sz w:val="14"/>
          <w:szCs w:val="14"/>
        </w:rPr>
        <w:t> </w:t>
      </w:r>
      <w:r>
        <w:rPr>
          <w:rStyle w:val="apple-converted-space"/>
          <w:color w:val="333333"/>
          <w:spacing w:val="8"/>
          <w:sz w:val="14"/>
          <w:szCs w:val="14"/>
        </w:rPr>
        <w:t> </w:t>
      </w:r>
      <w:r>
        <w:rPr>
          <w:color w:val="333333"/>
          <w:spacing w:val="8"/>
          <w:sz w:val="20"/>
          <w:szCs w:val="20"/>
        </w:rPr>
        <w:t>Przedsięwzięcia, które z założenia nie mają charakteru dydaktyczno-naukowego, bądź nie odnoszą się do programu badawczo-rozwojowego owego koła naukowego.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firstLine="360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§16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Od decyzji komisji w sprawie przyznanych środków finansowych na poszczególne projekty (kwartały) istnieje możliwość odwołania się do ww. Komisji, w terminie do 2 tygodni od rozpatrzenia podania przez komisje.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       §17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Organizacje, które otrzymały fundusze na poszczególne realizowane projekty, są zobowiązane do całkowitego rozliczenia się z nich wg zasad przyjętych i stosowanych na Uniwersytecie Gdańskim. W przypadku nie rozliczenia się z otrzymanych środków (przedpłata bądź zaliczka), ową kwotą zostanie obciążony opiekun koła.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center"/>
        <w:rPr>
          <w:color w:val="333333"/>
          <w:spacing w:val="8"/>
          <w:sz w:val="21"/>
          <w:szCs w:val="21"/>
        </w:rPr>
      </w:pPr>
      <w:r>
        <w:rPr>
          <w:rStyle w:val="Pogrubienie"/>
          <w:color w:val="333333"/>
          <w:spacing w:val="8"/>
          <w:sz w:val="20"/>
          <w:szCs w:val="20"/>
        </w:rPr>
        <w:t>       §18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2"/>
          <w:szCs w:val="22"/>
        </w:rPr>
        <w:t>Środki przyznane przez komisję uzyskać można w następujący sposób: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927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1.Zwrot na konto wskazanej osoby lub w kasie uniwersyteckiej - na podstawie przedstawionych oryginalnych faktur VAT lub rachunków (wystawionych na Uniwersytet Gdański, ul. Bażyńskiego 1a, 80-952 Gdańsk, NIP 584-020-32-39) lub biletów dostarczonych do biura Parlamentu Studentów natychmiast po zakończonym projekcie lub powrocie z wyjazdu;</w:t>
      </w:r>
    </w:p>
    <w:p w:rsidR="00E15710" w:rsidRDefault="00E15710" w:rsidP="00E15710">
      <w:pPr>
        <w:pStyle w:val="NormalnyWeb"/>
        <w:shd w:val="clear" w:color="auto" w:fill="FFFFFF"/>
        <w:spacing w:before="0" w:beforeAutospacing="0" w:after="150" w:afterAutospacing="0" w:line="315" w:lineRule="atLeast"/>
        <w:ind w:left="927" w:hanging="360"/>
        <w:jc w:val="both"/>
        <w:rPr>
          <w:color w:val="333333"/>
          <w:spacing w:val="8"/>
          <w:sz w:val="21"/>
          <w:szCs w:val="21"/>
        </w:rPr>
      </w:pPr>
      <w:r>
        <w:rPr>
          <w:color w:val="333333"/>
          <w:spacing w:val="8"/>
          <w:sz w:val="21"/>
          <w:szCs w:val="21"/>
        </w:rPr>
        <w:t>$1</w:t>
      </w:r>
      <w:r>
        <w:rPr>
          <w:color w:val="333333"/>
          <w:spacing w:val="8"/>
          <w:sz w:val="20"/>
          <w:szCs w:val="20"/>
        </w:rPr>
        <w:t>2.zaliczka na opiekuna koła - po wcześniejszym zgłoszeniu zapotrzebowania.</w:t>
      </w:r>
    </w:p>
    <w:p w:rsidR="009705C6" w:rsidRDefault="009705C6">
      <w:bookmarkStart w:id="0" w:name="_GoBack"/>
      <w:bookmarkEnd w:id="0"/>
    </w:p>
    <w:sectPr w:rsidR="0097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10"/>
    <w:rsid w:val="009705C6"/>
    <w:rsid w:val="00E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9EFB-2AEE-43D1-87AF-1B471739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710"/>
    <w:rPr>
      <w:b/>
      <w:bCs/>
    </w:rPr>
  </w:style>
  <w:style w:type="character" w:customStyle="1" w:styleId="apple-converted-space">
    <w:name w:val="apple-converted-space"/>
    <w:basedOn w:val="Domylnaczcionkaakapitu"/>
    <w:rsid w:val="00E1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1</cp:revision>
  <dcterms:created xsi:type="dcterms:W3CDTF">2015-02-24T14:56:00Z</dcterms:created>
  <dcterms:modified xsi:type="dcterms:W3CDTF">2015-02-24T14:56:00Z</dcterms:modified>
</cp:coreProperties>
</file>